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6E" w:rsidRDefault="00E64D6E" w:rsidP="00B67464">
      <w:pPr>
        <w:spacing w:before="120" w:after="120"/>
        <w:rPr>
          <w:b/>
          <w:sz w:val="28"/>
          <w:szCs w:val="28"/>
        </w:rPr>
      </w:pPr>
    </w:p>
    <w:p w:rsidR="00BD6806" w:rsidRPr="00D62928" w:rsidRDefault="00D62928" w:rsidP="00BD6806">
      <w:pPr>
        <w:spacing w:before="120" w:after="1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-110490</wp:posOffset>
            </wp:positionV>
            <wp:extent cx="6181725" cy="895350"/>
            <wp:effectExtent l="0" t="0" r="9525" b="0"/>
            <wp:wrapNone/>
            <wp:docPr id="10" name="Рисунок 10" descr="E:\Тема 2 ОФМ разработка\разработка нового материала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E:\Тема 2 ОФМ разработка\разработка нового материала\Безымянный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colorTemperature colorTemp="53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6806">
        <w:rPr>
          <w:rFonts w:asciiTheme="minorHAnsi" w:hAnsiTheme="minorHAnsi"/>
          <w:b/>
          <w:noProof/>
          <w:color w:val="FFFFFF" w:themeColor="background1"/>
          <w:sz w:val="28"/>
          <w:szCs w:val="28"/>
        </w:rPr>
        <w:t>КОНТРОЛЬНЫЕ ЗАДАНИЯ</w:t>
      </w:r>
      <w:r w:rsidR="00BD6806" w:rsidRPr="001A64C7">
        <w:rPr>
          <w:rFonts w:asciiTheme="minorHAnsi" w:hAnsiTheme="minorHAnsi"/>
          <w:b/>
          <w:noProof/>
          <w:color w:val="FFFFFF" w:themeColor="background1"/>
          <w:sz w:val="28"/>
          <w:szCs w:val="28"/>
        </w:rPr>
        <w:t xml:space="preserve"> К</w:t>
      </w:r>
      <w:r w:rsidR="00BD6806" w:rsidRPr="001A64C7">
        <w:rPr>
          <w:rFonts w:asciiTheme="minorHAnsi" w:eastAsia="Calibri" w:hAnsiTheme="minorHAnsi" w:cs="Calibri"/>
          <w:b/>
          <w:color w:val="FFFFFF" w:themeColor="background1"/>
          <w:sz w:val="28"/>
          <w:szCs w:val="28"/>
        </w:rPr>
        <w:t xml:space="preserve"> </w:t>
      </w:r>
      <w:r w:rsidR="00BD6806" w:rsidRPr="001A64C7">
        <w:rPr>
          <w:rFonts w:asciiTheme="minorHAnsi" w:eastAsia="Calibri" w:hAnsiTheme="minorHAnsi" w:cs="Calibri"/>
          <w:b/>
          <w:color w:val="FFFFFF"/>
          <w:sz w:val="28"/>
          <w:szCs w:val="28"/>
        </w:rPr>
        <w:t xml:space="preserve">ТЕМЕ </w:t>
      </w:r>
      <w:r w:rsidR="00BD6806" w:rsidRPr="00BD6806">
        <w:rPr>
          <w:rFonts w:asciiTheme="minorHAnsi" w:eastAsia="Calibri" w:hAnsiTheme="minorHAnsi" w:cs="Calibri"/>
          <w:b/>
          <w:color w:val="FFFFFF"/>
          <w:sz w:val="28"/>
          <w:szCs w:val="28"/>
        </w:rPr>
        <w:t>3</w:t>
      </w:r>
      <w:r w:rsidR="00BD6806" w:rsidRPr="001A64C7">
        <w:rPr>
          <w:rFonts w:asciiTheme="minorHAnsi" w:eastAsia="Calibri" w:hAnsiTheme="minorHAnsi" w:cs="Calibri"/>
          <w:b/>
          <w:color w:val="FFFFFF"/>
          <w:sz w:val="28"/>
          <w:szCs w:val="28"/>
        </w:rPr>
        <w:t>.</w:t>
      </w:r>
      <w:r w:rsidR="00BD6806" w:rsidRPr="001A64C7">
        <w:rPr>
          <w:rFonts w:asciiTheme="minorHAnsi" w:eastAsia="Calibri" w:hAnsiTheme="minorHAnsi"/>
          <w:b/>
          <w:color w:val="FFFFFF"/>
          <w:sz w:val="28"/>
          <w:szCs w:val="28"/>
        </w:rPr>
        <w:t xml:space="preserve"> </w:t>
      </w:r>
      <w:r w:rsidR="00BD6806" w:rsidRPr="00D62928">
        <w:rPr>
          <w:rFonts w:asciiTheme="minorHAnsi" w:eastAsia="Calibri" w:hAnsiTheme="minorHAnsi"/>
          <w:b/>
          <w:color w:val="FFFFFF"/>
          <w:sz w:val="24"/>
          <w:szCs w:val="24"/>
        </w:rPr>
        <w:t>«</w:t>
      </w:r>
      <w:r w:rsidR="00BD6806" w:rsidRPr="00D62928">
        <w:rPr>
          <w:rFonts w:asciiTheme="minorHAnsi" w:hAnsiTheme="minorHAnsi"/>
          <w:b/>
          <w:i/>
          <w:color w:val="FFFFFF" w:themeColor="background1"/>
          <w:sz w:val="24"/>
          <w:szCs w:val="24"/>
          <w:lang w:eastAsia="ar-SA"/>
        </w:rPr>
        <w:t xml:space="preserve">МЕТОДЫ КАЛЬКУЛИРОВАНИЯ </w:t>
      </w:r>
      <w:bookmarkStart w:id="0" w:name="_GoBack"/>
      <w:bookmarkEnd w:id="0"/>
      <w:r w:rsidR="00BD6806" w:rsidRPr="00D62928">
        <w:rPr>
          <w:rFonts w:asciiTheme="minorHAnsi" w:hAnsiTheme="minorHAnsi"/>
          <w:b/>
          <w:i/>
          <w:color w:val="FFFFFF" w:themeColor="background1"/>
          <w:sz w:val="24"/>
          <w:szCs w:val="24"/>
          <w:lang w:eastAsia="ar-SA"/>
        </w:rPr>
        <w:t xml:space="preserve">СЕБЕСТОИМОСТИ ПРОДУКЦИИ В ЗАВИСИМОСТИ ОТ ТЕХНОЛОГИИ БИЗНЕСА И ОПЕРАЦИОННЫХ РЕШЕНИЙ» </w:t>
      </w:r>
    </w:p>
    <w:p w:rsidR="00B67464" w:rsidRPr="00E64D6E" w:rsidRDefault="00E07160" w:rsidP="00B67464">
      <w:pPr>
        <w:spacing w:before="120" w:after="120"/>
        <w:rPr>
          <w:rFonts w:asciiTheme="minorHAnsi" w:hAnsiTheme="minorHAnsi"/>
          <w:color w:val="1F497D" w:themeColor="text2"/>
          <w:sz w:val="24"/>
          <w:szCs w:val="24"/>
        </w:rPr>
      </w:pPr>
      <w:r>
        <w:rPr>
          <w:rFonts w:asciiTheme="minorHAnsi" w:hAnsiTheme="minorHAnsi"/>
          <w:b/>
          <w:noProof/>
          <w:color w:val="1F497D" w:themeColor="text2"/>
          <w:sz w:val="24"/>
          <w:szCs w:val="24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257810</wp:posOffset>
            </wp:positionV>
            <wp:extent cx="1190625" cy="771525"/>
            <wp:effectExtent l="0" t="0" r="9525" b="9525"/>
            <wp:wrapThrough wrapText="bothSides">
              <wp:wrapPolygon edited="0">
                <wp:start x="0" y="0"/>
                <wp:lineTo x="0" y="21333"/>
                <wp:lineTo x="21427" y="21333"/>
                <wp:lineTo x="21427" y="0"/>
                <wp:lineTo x="0" y="0"/>
              </wp:wrapPolygon>
            </wp:wrapThrough>
            <wp:docPr id="3" name="Рисунок 3" descr="C:\Users\1\Desktop\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3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0384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Высокотехнологичная компания производит несколько видов продуктов, в том числе продукт A и продукт B. Продукт A выпускается стандартными партиями объемом по 300 единиц, а продукт B - стандартными партиями объемом по 100 единиц. Ниже приводится величина прямых производственных затрат, а также информация о других затратах.</w:t>
      </w:r>
    </w:p>
    <w:p w:rsidR="00E64D6E" w:rsidRPr="00E64D6E" w:rsidRDefault="00E64D6E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868"/>
        <w:gridCol w:w="1770"/>
        <w:gridCol w:w="1825"/>
      </w:tblGrid>
      <w:tr w:rsidR="00E64D6E" w:rsidRPr="00E64D6E" w:rsidTr="00E07160">
        <w:tc>
          <w:tcPr>
            <w:tcW w:w="5954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</w:p>
        </w:tc>
        <w:tc>
          <w:tcPr>
            <w:tcW w:w="1786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eastAsia="ar-SA"/>
              </w:rPr>
              <w:t>Продукт</w:t>
            </w:r>
            <w:proofErr w:type="gramStart"/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eastAsia="ar-SA"/>
              </w:rPr>
              <w:t xml:space="preserve"> А</w:t>
            </w:r>
            <w:proofErr w:type="gramEnd"/>
          </w:p>
        </w:tc>
        <w:tc>
          <w:tcPr>
            <w:tcW w:w="1842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eastAsia="ar-SA"/>
              </w:rPr>
              <w:t>Продукт</w:t>
            </w:r>
            <w:proofErr w:type="gramStart"/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eastAsia="ar-SA"/>
              </w:rPr>
              <w:t xml:space="preserve"> В</w:t>
            </w:r>
            <w:proofErr w:type="gramEnd"/>
          </w:p>
        </w:tc>
      </w:tr>
      <w:tr w:rsidR="00E64D6E" w:rsidRPr="00E64D6E" w:rsidTr="00E07160">
        <w:tc>
          <w:tcPr>
            <w:tcW w:w="5954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Производственная партия (объем) </w:t>
            </w:r>
          </w:p>
        </w:tc>
        <w:tc>
          <w:tcPr>
            <w:tcW w:w="1786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300 единиц </w:t>
            </w:r>
          </w:p>
        </w:tc>
        <w:tc>
          <w:tcPr>
            <w:tcW w:w="1842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100 единиц</w:t>
            </w:r>
          </w:p>
        </w:tc>
      </w:tr>
      <w:tr w:rsidR="00E64D6E" w:rsidRPr="00E64D6E" w:rsidTr="00E07160">
        <w:tc>
          <w:tcPr>
            <w:tcW w:w="5954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Прямые материальные затраты на единицу продукции </w:t>
            </w:r>
          </w:p>
        </w:tc>
        <w:tc>
          <w:tcPr>
            <w:tcW w:w="1786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$27.50 </w:t>
            </w:r>
          </w:p>
        </w:tc>
        <w:tc>
          <w:tcPr>
            <w:tcW w:w="1842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$40</w:t>
            </w:r>
          </w:p>
        </w:tc>
      </w:tr>
      <w:tr w:rsidR="00E64D6E" w:rsidRPr="00E64D6E" w:rsidTr="00E07160">
        <w:tc>
          <w:tcPr>
            <w:tcW w:w="5954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Прямые трудовые затраты на единицу продукции </w:t>
            </w:r>
          </w:p>
        </w:tc>
        <w:tc>
          <w:tcPr>
            <w:tcW w:w="1786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0.25 часа </w:t>
            </w:r>
          </w:p>
        </w:tc>
        <w:tc>
          <w:tcPr>
            <w:tcW w:w="1842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0.5 часа</w:t>
            </w:r>
          </w:p>
        </w:tc>
      </w:tr>
      <w:tr w:rsidR="00E64D6E" w:rsidRPr="00E64D6E" w:rsidTr="00E07160">
        <w:tc>
          <w:tcPr>
            <w:tcW w:w="5954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Прямые трудовые затраты на один час </w:t>
            </w:r>
          </w:p>
        </w:tc>
        <w:tc>
          <w:tcPr>
            <w:tcW w:w="1786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$10 </w:t>
            </w:r>
          </w:p>
        </w:tc>
        <w:tc>
          <w:tcPr>
            <w:tcW w:w="1842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$10</w:t>
            </w:r>
          </w:p>
        </w:tc>
      </w:tr>
      <w:tr w:rsidR="00E64D6E" w:rsidRPr="00E64D6E" w:rsidTr="00E07160">
        <w:tc>
          <w:tcPr>
            <w:tcW w:w="5954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Число подготовительных операций на партию </w:t>
            </w:r>
          </w:p>
        </w:tc>
        <w:tc>
          <w:tcPr>
            <w:tcW w:w="1786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5 </w:t>
            </w:r>
          </w:p>
        </w:tc>
        <w:tc>
          <w:tcPr>
            <w:tcW w:w="1842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2</w:t>
            </w:r>
          </w:p>
        </w:tc>
      </w:tr>
      <w:tr w:rsidR="00E64D6E" w:rsidRPr="00E64D6E" w:rsidTr="00E07160">
        <w:tc>
          <w:tcPr>
            <w:tcW w:w="5954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Машино-часы на единицу продукции </w:t>
            </w:r>
          </w:p>
        </w:tc>
        <w:tc>
          <w:tcPr>
            <w:tcW w:w="1786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0.5 часа </w:t>
            </w:r>
          </w:p>
        </w:tc>
        <w:tc>
          <w:tcPr>
            <w:tcW w:w="1842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0.5 часа</w:t>
            </w:r>
          </w:p>
        </w:tc>
      </w:tr>
    </w:tbl>
    <w:p w:rsidR="00E07160" w:rsidRDefault="00E07160" w:rsidP="00710384">
      <w:pPr>
        <w:spacing w:before="120" w:after="120"/>
        <w:jc w:val="both"/>
        <w:rPr>
          <w:rFonts w:asciiTheme="minorHAnsi" w:hAnsiTheme="minorHAnsi" w:cs="TimesNewRomanPSMT"/>
          <w:color w:val="1F497D" w:themeColor="text2"/>
          <w:sz w:val="24"/>
          <w:szCs w:val="24"/>
        </w:rPr>
      </w:pP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 w:cs="TimesNewRomanPSMT"/>
          <w:color w:val="1F497D" w:themeColor="text2"/>
          <w:sz w:val="24"/>
          <w:szCs w:val="24"/>
        </w:rPr>
        <w:t>При этом за год были понесены следующие накладные расходы: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4938"/>
        <w:gridCol w:w="1438"/>
        <w:gridCol w:w="3087"/>
      </w:tblGrid>
      <w:tr w:rsidR="00E64D6E" w:rsidRPr="00E64D6E" w:rsidTr="00E07160">
        <w:tc>
          <w:tcPr>
            <w:tcW w:w="5070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</w:p>
        </w:tc>
        <w:tc>
          <w:tcPr>
            <w:tcW w:w="1451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eastAsia="ar-SA"/>
              </w:rPr>
              <w:t xml:space="preserve">Сумма, </w:t>
            </w: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val="en-US" w:eastAsia="ar-SA"/>
              </w:rPr>
              <w:t>$</w:t>
            </w:r>
          </w:p>
        </w:tc>
        <w:tc>
          <w:tcPr>
            <w:tcW w:w="3118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eastAsia="ar-SA"/>
              </w:rPr>
              <w:t>Уровень деловой активности</w:t>
            </w:r>
          </w:p>
        </w:tc>
      </w:tr>
      <w:tr w:rsidR="00E64D6E" w:rsidRPr="00E64D6E" w:rsidTr="00E07160">
        <w:tc>
          <w:tcPr>
            <w:tcW w:w="5070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Затраты на подготовительные операции </w:t>
            </w:r>
          </w:p>
        </w:tc>
        <w:tc>
          <w:tcPr>
            <w:tcW w:w="1451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1 500 000</w:t>
            </w:r>
          </w:p>
        </w:tc>
        <w:tc>
          <w:tcPr>
            <w:tcW w:w="3118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2 500 </w:t>
            </w:r>
            <w:proofErr w:type="spellStart"/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подготовит</w:t>
            </w:r>
            <w:proofErr w:type="gramStart"/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.о</w:t>
            </w:r>
            <w:proofErr w:type="gramEnd"/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пераций</w:t>
            </w:r>
            <w:proofErr w:type="spellEnd"/>
          </w:p>
        </w:tc>
      </w:tr>
      <w:tr w:rsidR="00E64D6E" w:rsidRPr="00E64D6E" w:rsidTr="00E07160">
        <w:tc>
          <w:tcPr>
            <w:tcW w:w="5070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Затраты на погрузочно-разгрузочные работы </w:t>
            </w:r>
          </w:p>
        </w:tc>
        <w:tc>
          <w:tcPr>
            <w:tcW w:w="1451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1 000 000</w:t>
            </w:r>
          </w:p>
        </w:tc>
        <w:tc>
          <w:tcPr>
            <w:tcW w:w="3118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1 000 партий</w:t>
            </w:r>
          </w:p>
        </w:tc>
      </w:tr>
      <w:tr w:rsidR="00E64D6E" w:rsidRPr="00E64D6E" w:rsidTr="00E07160">
        <w:tc>
          <w:tcPr>
            <w:tcW w:w="5070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Другие производственные накладные расходы </w:t>
            </w:r>
          </w:p>
        </w:tc>
        <w:tc>
          <w:tcPr>
            <w:tcW w:w="1451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2 000 000</w:t>
            </w:r>
          </w:p>
        </w:tc>
        <w:tc>
          <w:tcPr>
            <w:tcW w:w="3118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200 000 машино-часов</w:t>
            </w:r>
          </w:p>
        </w:tc>
      </w:tr>
    </w:tbl>
    <w:p w:rsidR="00E07160" w:rsidRDefault="00E07160" w:rsidP="00710384">
      <w:pPr>
        <w:spacing w:before="120" w:after="120"/>
        <w:jc w:val="both"/>
        <w:rPr>
          <w:rFonts w:asciiTheme="minorHAnsi" w:hAnsiTheme="minorHAnsi"/>
          <w:b/>
          <w:i/>
          <w:color w:val="1F497D" w:themeColor="text2"/>
          <w:sz w:val="24"/>
          <w:szCs w:val="24"/>
          <w:lang w:eastAsia="ar-SA"/>
        </w:rPr>
      </w:pP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b/>
          <w:i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b/>
          <w:i/>
          <w:color w:val="1F497D" w:themeColor="text2"/>
          <w:sz w:val="24"/>
          <w:szCs w:val="24"/>
          <w:lang w:eastAsia="ar-SA"/>
        </w:rPr>
        <w:t>Требуется</w:t>
      </w:r>
      <w:r w:rsidR="00E07160">
        <w:rPr>
          <w:rFonts w:asciiTheme="minorHAnsi" w:hAnsiTheme="minorHAnsi"/>
          <w:b/>
          <w:i/>
          <w:color w:val="1F497D" w:themeColor="text2"/>
          <w:sz w:val="24"/>
          <w:szCs w:val="24"/>
          <w:lang w:eastAsia="ar-SA"/>
        </w:rPr>
        <w:t>:</w:t>
      </w: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Рассчитать затраты на единицу продукции продукта A и затраты на единицу продукции продукта B, используя:</w:t>
      </w:r>
    </w:p>
    <w:p w:rsidR="00710384" w:rsidRPr="00E64D6E" w:rsidRDefault="00710384" w:rsidP="00710384">
      <w:pPr>
        <w:spacing w:before="120" w:after="120"/>
        <w:ind w:left="426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а) традиционный метод распределения накладных затрат,</w:t>
      </w:r>
    </w:p>
    <w:p w:rsidR="00710384" w:rsidRPr="00E64D6E" w:rsidRDefault="00710384" w:rsidP="00710384">
      <w:pPr>
        <w:spacing w:before="120" w:after="120"/>
        <w:ind w:left="426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б) ABC-метод.</w:t>
      </w:r>
    </w:p>
    <w:p w:rsidR="00E07160" w:rsidRDefault="00E07160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</w:p>
    <w:p w:rsidR="0024393D" w:rsidRDefault="0024393D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</w:p>
    <w:p w:rsidR="0024393D" w:rsidRDefault="0024393D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</w:p>
    <w:p w:rsidR="00710384" w:rsidRPr="00E64D6E" w:rsidRDefault="00E07160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>
        <w:rPr>
          <w:rFonts w:asciiTheme="minorHAnsi" w:hAnsiTheme="minorHAnsi"/>
          <w:b/>
          <w:noProof/>
          <w:color w:val="1F497D" w:themeColor="text2"/>
          <w:sz w:val="24"/>
          <w:szCs w:val="24"/>
          <w:u w:val="single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244475</wp:posOffset>
            </wp:positionV>
            <wp:extent cx="1190625" cy="771525"/>
            <wp:effectExtent l="0" t="0" r="9525" b="9525"/>
            <wp:wrapThrough wrapText="bothSides">
              <wp:wrapPolygon edited="0">
                <wp:start x="0" y="0"/>
                <wp:lineTo x="0" y="21333"/>
                <wp:lineTo x="21427" y="21333"/>
                <wp:lineTo x="21427" y="0"/>
                <wp:lineTo x="0" y="0"/>
              </wp:wrapPolygon>
            </wp:wrapThrough>
            <wp:docPr id="4" name="Рисунок 4" descr="C:\Users\1\Desktop\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3-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Компания «Веста» производит бытовую химию, при этом для расчета производственных накладных расходов на продукцию она использует единую для всего предприятия нормативную ставку накладных расходов. </w:t>
      </w:r>
      <w:proofErr w:type="gramStart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Эта нормативная ставка накладных расходов основана на предусмотренных в бюджете величинах производственных расходов, а также на предусмотренных бюджетом числе человеко-часов прямых трудовых затрат производственных отделов.</w:t>
      </w:r>
      <w:proofErr w:type="gramEnd"/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В 2014 в бюджете было предусмотрено $380 000 производственных расходов (все - постоянные расходы), и 47 500 человеко-часов прямых трудовых затрат.</w:t>
      </w: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За 2014 на производство фактически ушло 52 000 человеко-часов прямых трудовых затрат, а накладные расходы составили $405</w:t>
      </w:r>
      <w:r w:rsidR="00275038"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 </w:t>
      </w: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000.</w:t>
      </w:r>
    </w:p>
    <w:p w:rsidR="00275038" w:rsidRPr="00E64D6E" w:rsidRDefault="00275038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b/>
          <w:i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b/>
          <w:i/>
          <w:color w:val="1F497D" w:themeColor="text2"/>
          <w:sz w:val="24"/>
          <w:szCs w:val="24"/>
          <w:lang w:eastAsia="ar-SA"/>
        </w:rPr>
        <w:t>Требуется:</w:t>
      </w:r>
    </w:p>
    <w:p w:rsidR="00710384" w:rsidRPr="00E64D6E" w:rsidRDefault="00710384" w:rsidP="00710384">
      <w:pPr>
        <w:spacing w:before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Определить, какую сумму составят за год недостаточно и избыточно поглощенные накладные расходы, и какую их часть можно отнести на счет различий между величиной накладных расходов, предусмотренной бюджетом и фактическими величинами: (a) накладных расходов и (b) базы распределения.</w:t>
      </w:r>
    </w:p>
    <w:p w:rsidR="00710384" w:rsidRDefault="00710384" w:rsidP="00710384">
      <w:pPr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</w:p>
    <w:p w:rsidR="00E07160" w:rsidRPr="00E64D6E" w:rsidRDefault="00E07160" w:rsidP="00710384">
      <w:pPr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</w:p>
    <w:p w:rsidR="00710384" w:rsidRDefault="00224783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>
        <w:rPr>
          <w:rFonts w:asciiTheme="minorHAnsi" w:hAnsiTheme="minorHAnsi"/>
          <w:b/>
          <w:noProof/>
          <w:color w:val="1F497D" w:themeColor="text2"/>
          <w:sz w:val="24"/>
          <w:szCs w:val="24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-635</wp:posOffset>
            </wp:positionV>
            <wp:extent cx="1190625" cy="771525"/>
            <wp:effectExtent l="0" t="0" r="9525" b="9525"/>
            <wp:wrapThrough wrapText="bothSides">
              <wp:wrapPolygon edited="0">
                <wp:start x="0" y="0"/>
                <wp:lineTo x="0" y="21333"/>
                <wp:lineTo x="21427" y="21333"/>
                <wp:lineTo x="21427" y="0"/>
                <wp:lineTo x="0" y="0"/>
              </wp:wrapPolygon>
            </wp:wrapThrough>
            <wp:docPr id="5" name="Рисунок 5" descr="C:\Users\1\Desktop\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3-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0384"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Завод «</w:t>
      </w:r>
      <w:proofErr w:type="spellStart"/>
      <w:r w:rsidR="00710384"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Станкопром</w:t>
      </w:r>
      <w:proofErr w:type="spellEnd"/>
      <w:r w:rsidR="00710384"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» является ведущим предприятием тяжелого машиностроения. Вы являетесь экономистом, отвечающим за </w:t>
      </w:r>
      <w:proofErr w:type="spellStart"/>
      <w:r w:rsidR="00710384"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калькулирование</w:t>
      </w:r>
      <w:proofErr w:type="spellEnd"/>
      <w:r w:rsidR="00710384"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 затрат данной компании. Вами получены</w:t>
      </w:r>
      <w:r w:rsidR="00E07160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 следующие сметные данные (</w:t>
      </w:r>
      <w:proofErr w:type="gramStart"/>
      <w:r w:rsidR="00E07160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в</w:t>
      </w:r>
      <w:proofErr w:type="gramEnd"/>
      <w:r w:rsidR="00E07160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 $)</w:t>
      </w:r>
      <w:r w:rsidR="00710384"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:</w:t>
      </w:r>
    </w:p>
    <w:p w:rsidR="00E07160" w:rsidRPr="00E64D6E" w:rsidRDefault="00E07160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</w:p>
    <w:tbl>
      <w:tblPr>
        <w:tblW w:w="9371" w:type="dxa"/>
        <w:tblInd w:w="93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3200"/>
        <w:gridCol w:w="1186"/>
        <w:gridCol w:w="1134"/>
        <w:gridCol w:w="1307"/>
        <w:gridCol w:w="1268"/>
        <w:gridCol w:w="1276"/>
      </w:tblGrid>
      <w:tr w:rsidR="00E64D6E" w:rsidRPr="00E64D6E" w:rsidTr="00E07160">
        <w:trPr>
          <w:trHeight w:val="294"/>
        </w:trPr>
        <w:tc>
          <w:tcPr>
            <w:tcW w:w="3224" w:type="dxa"/>
            <w:vMerge w:val="restart"/>
            <w:shd w:val="clear" w:color="auto" w:fill="auto"/>
            <w:vAlign w:val="center"/>
            <w:hideMark/>
          </w:tcPr>
          <w:p w:rsidR="00710384" w:rsidRPr="00E64D6E" w:rsidRDefault="00710384" w:rsidP="00BE3780">
            <w:pPr>
              <w:jc w:val="center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 xml:space="preserve">Статья затрат                                            </w:t>
            </w:r>
          </w:p>
        </w:tc>
        <w:tc>
          <w:tcPr>
            <w:tcW w:w="4871" w:type="dxa"/>
            <w:gridSpan w:val="4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center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 xml:space="preserve">О  Т  Д  Е  Л  </w:t>
            </w:r>
            <w:proofErr w:type="gramStart"/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ИТОГО</w:t>
            </w:r>
          </w:p>
        </w:tc>
      </w:tr>
      <w:tr w:rsidR="00E64D6E" w:rsidRPr="00E64D6E" w:rsidTr="00E07160">
        <w:trPr>
          <w:trHeight w:val="254"/>
        </w:trPr>
        <w:tc>
          <w:tcPr>
            <w:tcW w:w="3224" w:type="dxa"/>
            <w:vMerge/>
            <w:shd w:val="clear" w:color="auto" w:fill="auto"/>
            <w:vAlign w:val="center"/>
            <w:hideMark/>
          </w:tcPr>
          <w:p w:rsidR="00710384" w:rsidRPr="00E64D6E" w:rsidRDefault="00710384" w:rsidP="00BE3780">
            <w:pPr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center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№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center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№ 2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:rsidR="00710384" w:rsidRPr="00E64D6E" w:rsidRDefault="00710384" w:rsidP="00BE3780">
            <w:pPr>
              <w:jc w:val="center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обслужив.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center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столовая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center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</w:p>
        </w:tc>
      </w:tr>
      <w:tr w:rsidR="00E64D6E" w:rsidRPr="00E64D6E" w:rsidTr="00E07160">
        <w:trPr>
          <w:trHeight w:val="255"/>
        </w:trPr>
        <w:tc>
          <w:tcPr>
            <w:tcW w:w="3224" w:type="dxa"/>
            <w:shd w:val="clear" w:color="auto" w:fill="auto"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Труд </w:t>
            </w:r>
            <w:proofErr w:type="spellStart"/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непроизв</w:t>
            </w:r>
            <w:proofErr w:type="gramStart"/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.р</w:t>
            </w:r>
            <w:proofErr w:type="gramEnd"/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абочих</w:t>
            </w:r>
            <w:proofErr w:type="spellEnd"/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          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60 000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70 000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25 000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15 000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170 000</w:t>
            </w:r>
          </w:p>
        </w:tc>
      </w:tr>
      <w:tr w:rsidR="00E64D6E" w:rsidRPr="00E64D6E" w:rsidTr="00E07160">
        <w:trPr>
          <w:trHeight w:val="255"/>
        </w:trPr>
        <w:tc>
          <w:tcPr>
            <w:tcW w:w="3224" w:type="dxa"/>
            <w:shd w:val="clear" w:color="auto" w:fill="auto"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Расходные материалы              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12 000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16 000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3 000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10 000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41 000</w:t>
            </w:r>
          </w:p>
        </w:tc>
      </w:tr>
      <w:tr w:rsidR="00E64D6E" w:rsidRPr="00E64D6E" w:rsidTr="00E07160">
        <w:trPr>
          <w:trHeight w:val="255"/>
        </w:trPr>
        <w:tc>
          <w:tcPr>
            <w:tcW w:w="3224" w:type="dxa"/>
            <w:shd w:val="clear" w:color="auto" w:fill="auto"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Отопление и освещение              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12 000</w:t>
            </w:r>
          </w:p>
        </w:tc>
      </w:tr>
      <w:tr w:rsidR="00E64D6E" w:rsidRPr="00E64D6E" w:rsidTr="00E07160">
        <w:trPr>
          <w:trHeight w:val="510"/>
        </w:trPr>
        <w:tc>
          <w:tcPr>
            <w:tcW w:w="3224" w:type="dxa"/>
            <w:shd w:val="clear" w:color="auto" w:fill="auto"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Арендная плата и коммунальные сборы                                                                                                                    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18 000</w:t>
            </w:r>
          </w:p>
        </w:tc>
      </w:tr>
      <w:tr w:rsidR="00E64D6E" w:rsidRPr="00E64D6E" w:rsidTr="00E07160">
        <w:trPr>
          <w:trHeight w:val="255"/>
        </w:trPr>
        <w:tc>
          <w:tcPr>
            <w:tcW w:w="3224" w:type="dxa"/>
            <w:shd w:val="clear" w:color="auto" w:fill="auto"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Износ                                     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30 000</w:t>
            </w:r>
          </w:p>
        </w:tc>
      </w:tr>
      <w:tr w:rsidR="00E64D6E" w:rsidRPr="00E64D6E" w:rsidTr="00E07160">
        <w:trPr>
          <w:trHeight w:val="255"/>
        </w:trPr>
        <w:tc>
          <w:tcPr>
            <w:tcW w:w="3224" w:type="dxa"/>
            <w:shd w:val="clear" w:color="auto" w:fill="auto"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Контроль                                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24 000</w:t>
            </w:r>
          </w:p>
        </w:tc>
      </w:tr>
      <w:tr w:rsidR="00E64D6E" w:rsidRPr="00E64D6E" w:rsidTr="00E07160">
        <w:trPr>
          <w:trHeight w:val="255"/>
        </w:trPr>
        <w:tc>
          <w:tcPr>
            <w:tcW w:w="3224" w:type="dxa"/>
            <w:shd w:val="clear" w:color="auto" w:fill="auto"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Электроэнергия                             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Cs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20 000</w:t>
            </w:r>
          </w:p>
        </w:tc>
      </w:tr>
      <w:tr w:rsidR="00E64D6E" w:rsidRPr="00E64D6E" w:rsidTr="00E07160">
        <w:trPr>
          <w:trHeight w:val="255"/>
        </w:trPr>
        <w:tc>
          <w:tcPr>
            <w:tcW w:w="3224" w:type="dxa"/>
            <w:shd w:val="clear" w:color="auto" w:fill="auto"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 xml:space="preserve">Итого:                                       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b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/>
                <w:bCs/>
                <w:color w:val="1F497D" w:themeColor="text2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/>
                <w:bCs/>
                <w:color w:val="1F497D" w:themeColor="text2"/>
                <w:sz w:val="24"/>
                <w:szCs w:val="24"/>
              </w:rPr>
              <w:t>315 000</w:t>
            </w:r>
          </w:p>
        </w:tc>
      </w:tr>
    </w:tbl>
    <w:p w:rsidR="00E07160" w:rsidRDefault="00E07160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Предоставлена также следующая информация:</w:t>
      </w:r>
    </w:p>
    <w:tbl>
      <w:tblPr>
        <w:tblW w:w="9371" w:type="dxa"/>
        <w:tblInd w:w="93" w:type="dxa"/>
        <w:tblBorders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3417"/>
        <w:gridCol w:w="1134"/>
        <w:gridCol w:w="1134"/>
        <w:gridCol w:w="1307"/>
        <w:gridCol w:w="1151"/>
        <w:gridCol w:w="1290"/>
      </w:tblGrid>
      <w:tr w:rsidR="00E64D6E" w:rsidRPr="00E64D6E" w:rsidTr="00E07160">
        <w:trPr>
          <w:trHeight w:val="255"/>
        </w:trPr>
        <w:tc>
          <w:tcPr>
            <w:tcW w:w="3417" w:type="dxa"/>
            <w:vMerge w:val="restart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</w:p>
        </w:tc>
        <w:tc>
          <w:tcPr>
            <w:tcW w:w="4664" w:type="dxa"/>
            <w:gridSpan w:val="4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            </w:t>
            </w: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 xml:space="preserve">О  Т  Д  Е  Л  </w:t>
            </w:r>
            <w:proofErr w:type="gramStart"/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1290" w:type="dxa"/>
            <w:vMerge w:val="restart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ИТОГО</w:t>
            </w:r>
          </w:p>
        </w:tc>
      </w:tr>
      <w:tr w:rsidR="00E64D6E" w:rsidRPr="00E64D6E" w:rsidTr="00E07160">
        <w:trPr>
          <w:trHeight w:val="218"/>
        </w:trPr>
        <w:tc>
          <w:tcPr>
            <w:tcW w:w="3417" w:type="dxa"/>
            <w:vMerge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center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№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center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№ 2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:rsidR="00710384" w:rsidRPr="00E64D6E" w:rsidRDefault="00710384" w:rsidP="00BE3780">
            <w:pPr>
              <w:jc w:val="center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обслужив.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center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столовая</w:t>
            </w:r>
          </w:p>
        </w:tc>
        <w:tc>
          <w:tcPr>
            <w:tcW w:w="1290" w:type="dxa"/>
            <w:vMerge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</w:p>
        </w:tc>
      </w:tr>
      <w:tr w:rsidR="00E64D6E" w:rsidRPr="00E64D6E" w:rsidTr="00E07160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Производств. площад</w:t>
            </w:r>
            <w:proofErr w:type="gramStart"/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ь(</w:t>
            </w:r>
            <w:proofErr w:type="gramEnd"/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кв.м.)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12 000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5 000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3000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30 000</w:t>
            </w:r>
          </w:p>
        </w:tc>
      </w:tr>
      <w:tr w:rsidR="00E64D6E" w:rsidRPr="00E64D6E" w:rsidTr="00E07160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Балансовая стоимость станков($)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150 000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120 000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20 000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10000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300 000</w:t>
            </w:r>
          </w:p>
        </w:tc>
      </w:tr>
      <w:tr w:rsidR="00E64D6E" w:rsidRPr="00E64D6E" w:rsidTr="00E07160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Количество служащих    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30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10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 -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80</w:t>
            </w:r>
          </w:p>
        </w:tc>
      </w:tr>
      <w:tr w:rsidR="00E64D6E" w:rsidRPr="00E64D6E" w:rsidTr="00E07160">
        <w:trPr>
          <w:trHeight w:val="255"/>
        </w:trPr>
        <w:tc>
          <w:tcPr>
            <w:tcW w:w="3417" w:type="dxa"/>
            <w:shd w:val="clear" w:color="auto" w:fill="auto"/>
            <w:vAlign w:val="center"/>
            <w:hideMark/>
          </w:tcPr>
          <w:p w:rsidR="00710384" w:rsidRPr="00E64D6E" w:rsidRDefault="00710384" w:rsidP="00BE3780">
            <w:pPr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Киловатт-часы                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4 500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4 000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1 000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500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710384" w:rsidRPr="00E64D6E" w:rsidRDefault="00710384" w:rsidP="00BE3780">
            <w:pPr>
              <w:jc w:val="right"/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</w:pPr>
            <w:r w:rsidRPr="00E64D6E">
              <w:rPr>
                <w:rFonts w:asciiTheme="minorHAnsi" w:hAnsiTheme="minorHAnsi"/>
                <w:bCs/>
                <w:color w:val="1F497D" w:themeColor="text2"/>
                <w:sz w:val="24"/>
                <w:szCs w:val="24"/>
              </w:rPr>
              <w:t>10 000</w:t>
            </w:r>
          </w:p>
        </w:tc>
      </w:tr>
    </w:tbl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lastRenderedPageBreak/>
        <w:t>Персонал столовой состоит из подрядчиков.</w:t>
      </w: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Только отделы №1 и №2 являются производственными.</w:t>
      </w: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Отдел обслуживания выполняет работу в объеме 4000 часов для отдела №1 и 3000 часов для отдела №2.</w:t>
      </w: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Отдел №1 занимается </w:t>
      </w:r>
      <w:proofErr w:type="spellStart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машиноемким</w:t>
      </w:r>
      <w:proofErr w:type="spellEnd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 производством, а отдел №2 - трудоемким.</w:t>
      </w:r>
    </w:p>
    <w:p w:rsidR="00710384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На 2013г. для отделов №1 и №2 запланировано, соответственно, 6320 </w:t>
      </w:r>
      <w:proofErr w:type="spellStart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маш</w:t>
      </w:r>
      <w:proofErr w:type="gramStart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.ч</w:t>
      </w:r>
      <w:proofErr w:type="gramEnd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асов</w:t>
      </w:r>
      <w:proofErr w:type="spellEnd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 и 7850 </w:t>
      </w:r>
      <w:proofErr w:type="spellStart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чел.часов</w:t>
      </w:r>
      <w:proofErr w:type="spellEnd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.</w:t>
      </w:r>
    </w:p>
    <w:p w:rsidR="00E07160" w:rsidRPr="00E64D6E" w:rsidRDefault="00E07160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b/>
          <w:i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b/>
          <w:i/>
          <w:color w:val="1F497D" w:themeColor="text2"/>
          <w:sz w:val="24"/>
          <w:szCs w:val="24"/>
          <w:lang w:eastAsia="ar-SA"/>
        </w:rPr>
        <w:t>Требуется</w:t>
      </w: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а) составить отчет о накладных расходах, показав распределение и перераспределение накладных расходов по четырем центрам затрат за 1998 год с четким указанием  базы распределения.</w:t>
      </w: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б) рассчитать ставку поглощения накладных расходов для отдела №1 на основе </w:t>
      </w:r>
      <w:proofErr w:type="spellStart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машино</w:t>
      </w:r>
      <w:proofErr w:type="spellEnd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-</w:t>
      </w:r>
      <w:r w:rsidRPr="00E64D6E">
        <w:rPr>
          <w:rFonts w:asciiTheme="minorHAnsi" w:hAnsiTheme="minorHAnsi"/>
          <w:color w:val="1F497D" w:themeColor="text2"/>
          <w:sz w:val="24"/>
          <w:szCs w:val="24"/>
        </w:rPr>
        <w:t xml:space="preserve"> </w:t>
      </w: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часов и для отдела №2 на основе трудозатрат.</w:t>
      </w: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в) рассчитать недостаточное и избыточное поглощение накладных расходов для каждого</w:t>
      </w:r>
      <w:r w:rsidRPr="00E64D6E">
        <w:rPr>
          <w:rFonts w:asciiTheme="minorHAnsi" w:hAnsiTheme="minorHAnsi"/>
          <w:color w:val="1F497D" w:themeColor="text2"/>
          <w:sz w:val="24"/>
          <w:szCs w:val="24"/>
        </w:rPr>
        <w:t xml:space="preserve"> </w:t>
      </w: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отдела на основании того, что в 1998 году фактические накладные расходы отдела 1 составили </w:t>
      </w:r>
      <w:r w:rsidR="00480CEF"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$</w:t>
      </w: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155</w:t>
      </w:r>
      <w:r w:rsidR="00480CEF"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 </w:t>
      </w: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000, а наработанное время - 6000 часов, в то время как  фактические накладные расходы отдела 2 составили </w:t>
      </w:r>
      <w:r w:rsidR="00480CEF"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$</w:t>
      </w: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156</w:t>
      </w:r>
      <w:r w:rsidR="00480CEF"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 </w:t>
      </w: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000, а трудозатраты - 7900 часов.</w:t>
      </w:r>
    </w:p>
    <w:p w:rsidR="00710384" w:rsidRPr="00E64D6E" w:rsidRDefault="00E07160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>
        <w:rPr>
          <w:rFonts w:asciiTheme="minorHAnsi" w:hAnsiTheme="minorHAnsi"/>
          <w:b/>
          <w:noProof/>
          <w:color w:val="1F497D" w:themeColor="text2"/>
          <w:sz w:val="24"/>
          <w:szCs w:val="24"/>
          <w:u w:val="singl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180340</wp:posOffset>
            </wp:positionV>
            <wp:extent cx="1190625" cy="771525"/>
            <wp:effectExtent l="0" t="0" r="9525" b="9525"/>
            <wp:wrapThrough wrapText="bothSides">
              <wp:wrapPolygon edited="0">
                <wp:start x="0" y="0"/>
                <wp:lineTo x="0" y="21333"/>
                <wp:lineTo x="21427" y="21333"/>
                <wp:lineTo x="21427" y="0"/>
                <wp:lineTo x="0" y="0"/>
              </wp:wrapPolygon>
            </wp:wrapThrough>
            <wp:docPr id="6" name="Рисунок 6" descr="C:\Users\1\Desktop\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3-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Компания </w:t>
      </w:r>
      <w:proofErr w:type="spellStart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Wong</w:t>
      </w:r>
      <w:proofErr w:type="spellEnd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 </w:t>
      </w:r>
      <w:proofErr w:type="spellStart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Ltd</w:t>
      </w:r>
      <w:proofErr w:type="spellEnd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 производит два вида продуктов: продукт </w:t>
      </w:r>
      <w:proofErr w:type="spellStart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Ping</w:t>
      </w:r>
      <w:proofErr w:type="spellEnd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 и продукт </w:t>
      </w:r>
      <w:proofErr w:type="spellStart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Pong</w:t>
      </w:r>
      <w:proofErr w:type="spellEnd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. </w:t>
      </w:r>
    </w:p>
    <w:p w:rsidR="00710384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На август 2014 года об этих продуктах было известно следующее:</w:t>
      </w:r>
    </w:p>
    <w:p w:rsidR="00E07160" w:rsidRPr="00E64D6E" w:rsidRDefault="00E07160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920"/>
        <w:gridCol w:w="1360"/>
        <w:gridCol w:w="1417"/>
      </w:tblGrid>
      <w:tr w:rsidR="00E64D6E" w:rsidRPr="00E64D6E" w:rsidTr="00E07160">
        <w:tc>
          <w:tcPr>
            <w:tcW w:w="5920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</w:p>
        </w:tc>
        <w:tc>
          <w:tcPr>
            <w:tcW w:w="1360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eastAsia="ar-SA"/>
              </w:rPr>
            </w:pPr>
            <w:proofErr w:type="spellStart"/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eastAsia="ar-SA"/>
              </w:rPr>
              <w:t>Ping</w:t>
            </w:r>
            <w:proofErr w:type="spellEnd"/>
          </w:p>
        </w:tc>
        <w:tc>
          <w:tcPr>
            <w:tcW w:w="1417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eastAsia="ar-SA"/>
              </w:rPr>
            </w:pPr>
            <w:proofErr w:type="spellStart"/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eastAsia="ar-SA"/>
              </w:rPr>
              <w:t>Pong</w:t>
            </w:r>
            <w:proofErr w:type="spellEnd"/>
          </w:p>
        </w:tc>
      </w:tr>
      <w:tr w:rsidR="00E64D6E" w:rsidRPr="00E64D6E" w:rsidTr="00E07160">
        <w:tc>
          <w:tcPr>
            <w:tcW w:w="5920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Запасы на начало периода </w:t>
            </w:r>
          </w:p>
        </w:tc>
        <w:tc>
          <w:tcPr>
            <w:tcW w:w="1360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7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0</w:t>
            </w:r>
          </w:p>
        </w:tc>
      </w:tr>
      <w:tr w:rsidR="00E64D6E" w:rsidRPr="00E64D6E" w:rsidTr="00E07160">
        <w:tc>
          <w:tcPr>
            <w:tcW w:w="5920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Объем производства (единиц) </w:t>
            </w:r>
          </w:p>
        </w:tc>
        <w:tc>
          <w:tcPr>
            <w:tcW w:w="1360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15 000</w:t>
            </w:r>
          </w:p>
        </w:tc>
        <w:tc>
          <w:tcPr>
            <w:tcW w:w="1417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6 000</w:t>
            </w:r>
          </w:p>
        </w:tc>
      </w:tr>
      <w:tr w:rsidR="00E64D6E" w:rsidRPr="00E64D6E" w:rsidTr="00E07160">
        <w:tc>
          <w:tcPr>
            <w:tcW w:w="5920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Объем продаж (единиц) </w:t>
            </w:r>
          </w:p>
        </w:tc>
        <w:tc>
          <w:tcPr>
            <w:tcW w:w="1360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10 000</w:t>
            </w:r>
          </w:p>
        </w:tc>
        <w:tc>
          <w:tcPr>
            <w:tcW w:w="1417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5 000</w:t>
            </w:r>
          </w:p>
        </w:tc>
      </w:tr>
      <w:tr w:rsidR="00E64D6E" w:rsidRPr="00E64D6E" w:rsidTr="00E07160">
        <w:tc>
          <w:tcPr>
            <w:tcW w:w="5920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Цена продажи на единицу продукции </w:t>
            </w:r>
          </w:p>
        </w:tc>
        <w:tc>
          <w:tcPr>
            <w:tcW w:w="1360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$20</w:t>
            </w:r>
          </w:p>
        </w:tc>
        <w:tc>
          <w:tcPr>
            <w:tcW w:w="1417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$30</w:t>
            </w:r>
          </w:p>
        </w:tc>
      </w:tr>
      <w:tr w:rsidR="00E64D6E" w:rsidRPr="00E64D6E" w:rsidTr="00E07160">
        <w:tc>
          <w:tcPr>
            <w:tcW w:w="5920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Единицы затрат </w:t>
            </w:r>
          </w:p>
        </w:tc>
        <w:tc>
          <w:tcPr>
            <w:tcW w:w="1360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$</w:t>
            </w:r>
          </w:p>
        </w:tc>
        <w:tc>
          <w:tcPr>
            <w:tcW w:w="1417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$</w:t>
            </w:r>
          </w:p>
        </w:tc>
      </w:tr>
      <w:tr w:rsidR="00E64D6E" w:rsidRPr="00E64D6E" w:rsidTr="00E07160">
        <w:tc>
          <w:tcPr>
            <w:tcW w:w="5920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Прямые материальные затраты </w:t>
            </w:r>
          </w:p>
        </w:tc>
        <w:tc>
          <w:tcPr>
            <w:tcW w:w="1360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7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14</w:t>
            </w:r>
          </w:p>
        </w:tc>
      </w:tr>
      <w:tr w:rsidR="00E64D6E" w:rsidRPr="00E64D6E" w:rsidTr="00E07160">
        <w:tc>
          <w:tcPr>
            <w:tcW w:w="5920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Прямые трудовые затраты </w:t>
            </w:r>
          </w:p>
        </w:tc>
        <w:tc>
          <w:tcPr>
            <w:tcW w:w="1360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7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2</w:t>
            </w:r>
          </w:p>
        </w:tc>
      </w:tr>
      <w:tr w:rsidR="00E64D6E" w:rsidRPr="00E64D6E" w:rsidTr="00E07160">
        <w:tc>
          <w:tcPr>
            <w:tcW w:w="5920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Переменные производственные накладные расходы </w:t>
            </w:r>
          </w:p>
        </w:tc>
        <w:tc>
          <w:tcPr>
            <w:tcW w:w="1360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1</w:t>
            </w:r>
          </w:p>
        </w:tc>
      </w:tr>
      <w:tr w:rsidR="00E07160" w:rsidRPr="00E64D6E" w:rsidTr="00E07160">
        <w:tc>
          <w:tcPr>
            <w:tcW w:w="5920" w:type="dxa"/>
          </w:tcPr>
          <w:p w:rsidR="00710384" w:rsidRPr="00E64D6E" w:rsidRDefault="00710384" w:rsidP="00BE3780">
            <w:pPr>
              <w:spacing w:before="60" w:after="60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Переменные накладные расходы на продажу </w:t>
            </w:r>
          </w:p>
        </w:tc>
        <w:tc>
          <w:tcPr>
            <w:tcW w:w="1360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3</w:t>
            </w:r>
          </w:p>
        </w:tc>
      </w:tr>
    </w:tbl>
    <w:p w:rsidR="00710384" w:rsidRPr="00E64D6E" w:rsidRDefault="00710384" w:rsidP="00710384">
      <w:pPr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</w:p>
    <w:tbl>
      <w:tblPr>
        <w:tblStyle w:val="a3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4927"/>
        <w:gridCol w:w="1277"/>
      </w:tblGrid>
      <w:tr w:rsidR="00E64D6E" w:rsidRPr="00E64D6E" w:rsidTr="00E07160">
        <w:tc>
          <w:tcPr>
            <w:tcW w:w="4927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eastAsia="ar-SA"/>
              </w:rPr>
              <w:t xml:space="preserve">Постоянные затраты за месяц </w:t>
            </w:r>
          </w:p>
        </w:tc>
        <w:tc>
          <w:tcPr>
            <w:tcW w:w="1277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b/>
                <w:color w:val="1F497D" w:themeColor="text2"/>
                <w:sz w:val="24"/>
                <w:szCs w:val="24"/>
                <w:lang w:eastAsia="ar-SA"/>
              </w:rPr>
              <w:t>$</w:t>
            </w:r>
          </w:p>
        </w:tc>
      </w:tr>
      <w:tr w:rsidR="00E64D6E" w:rsidRPr="00E64D6E" w:rsidTr="00E07160">
        <w:tc>
          <w:tcPr>
            <w:tcW w:w="4927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Производственные затраты </w:t>
            </w:r>
          </w:p>
        </w:tc>
        <w:tc>
          <w:tcPr>
            <w:tcW w:w="1277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40 000</w:t>
            </w:r>
          </w:p>
        </w:tc>
      </w:tr>
      <w:tr w:rsidR="00E64D6E" w:rsidRPr="00E64D6E" w:rsidTr="00E07160">
        <w:tc>
          <w:tcPr>
            <w:tcW w:w="4927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Административные затраты </w:t>
            </w:r>
          </w:p>
        </w:tc>
        <w:tc>
          <w:tcPr>
            <w:tcW w:w="1277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15 000</w:t>
            </w:r>
          </w:p>
        </w:tc>
      </w:tr>
      <w:tr w:rsidR="00E64D6E" w:rsidRPr="00E64D6E" w:rsidTr="00E07160">
        <w:tc>
          <w:tcPr>
            <w:tcW w:w="4927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Затраты на реализацию </w:t>
            </w:r>
          </w:p>
        </w:tc>
        <w:tc>
          <w:tcPr>
            <w:tcW w:w="1277" w:type="dxa"/>
          </w:tcPr>
          <w:p w:rsidR="00710384" w:rsidRPr="00E64D6E" w:rsidRDefault="00710384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25 000</w:t>
            </w:r>
          </w:p>
        </w:tc>
      </w:tr>
      <w:tr w:rsidR="00E07160" w:rsidRPr="00E64D6E" w:rsidTr="00E07160">
        <w:tc>
          <w:tcPr>
            <w:tcW w:w="4927" w:type="dxa"/>
          </w:tcPr>
          <w:p w:rsidR="00E07160" w:rsidRPr="00E64D6E" w:rsidRDefault="00E07160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</w:tcPr>
          <w:p w:rsidR="00E07160" w:rsidRPr="00E64D6E" w:rsidRDefault="00E07160" w:rsidP="00BE3780">
            <w:pPr>
              <w:spacing w:before="60" w:after="60"/>
              <w:jc w:val="center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</w:p>
        </w:tc>
      </w:tr>
    </w:tbl>
    <w:p w:rsidR="00E07160" w:rsidRDefault="00E07160" w:rsidP="00710384">
      <w:pPr>
        <w:spacing w:before="120" w:after="120"/>
        <w:jc w:val="both"/>
        <w:rPr>
          <w:rFonts w:asciiTheme="minorHAnsi" w:hAnsiTheme="minorHAnsi"/>
          <w:b/>
          <w:i/>
          <w:color w:val="1F497D" w:themeColor="text2"/>
          <w:sz w:val="24"/>
          <w:szCs w:val="24"/>
          <w:lang w:eastAsia="ar-SA"/>
        </w:rPr>
      </w:pP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b/>
          <w:i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b/>
          <w:i/>
          <w:color w:val="1F497D" w:themeColor="text2"/>
          <w:sz w:val="24"/>
          <w:szCs w:val="24"/>
          <w:lang w:eastAsia="ar-SA"/>
        </w:rPr>
        <w:t>Требуется</w:t>
      </w: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а) Рассчитать прибыль за август 2014 г., применяя калькуляцию себестоимости по предельным затратам.</w:t>
      </w:r>
    </w:p>
    <w:p w:rsidR="00710384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б) Рассчитать прибыль, если было продано 15 000 единиц продукта </w:t>
      </w:r>
      <w:proofErr w:type="spellStart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Ping</w:t>
      </w:r>
      <w:proofErr w:type="spellEnd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 и 6 000 единиц продукта </w:t>
      </w:r>
      <w:proofErr w:type="spellStart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Pong</w:t>
      </w:r>
      <w:proofErr w:type="spellEnd"/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.</w:t>
      </w:r>
    </w:p>
    <w:p w:rsidR="00E07160" w:rsidRPr="00E64D6E" w:rsidRDefault="00E07160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</w:p>
    <w:p w:rsidR="00710384" w:rsidRPr="00E64D6E" w:rsidRDefault="00E07160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>
        <w:rPr>
          <w:rFonts w:asciiTheme="minorHAnsi" w:hAnsiTheme="minorHAnsi"/>
          <w:b/>
          <w:noProof/>
          <w:color w:val="1F497D" w:themeColor="text2"/>
          <w:sz w:val="24"/>
          <w:szCs w:val="24"/>
          <w:u w:val="singl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216535</wp:posOffset>
            </wp:positionV>
            <wp:extent cx="1190625" cy="771525"/>
            <wp:effectExtent l="0" t="0" r="9525" b="9525"/>
            <wp:wrapThrough wrapText="bothSides">
              <wp:wrapPolygon edited="0">
                <wp:start x="0" y="0"/>
                <wp:lineTo x="0" y="21333"/>
                <wp:lineTo x="21427" y="21333"/>
                <wp:lineTo x="21427" y="0"/>
                <wp:lineTo x="0" y="0"/>
              </wp:wrapPolygon>
            </wp:wrapThrough>
            <wp:docPr id="7" name="Рисунок 7" descr="C:\Users\1\Desktop\3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3-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0384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Компания «Кровля+» производит черепицу для крыш. Имеется следующая информация о деятельности компании за 2013 г. Было произведено 92 600 единиц продукции, продано -    88 400 единиц. Цена продажи составила $18 за единицу.</w:t>
      </w:r>
    </w:p>
    <w:p w:rsidR="00E07160" w:rsidRPr="00E64D6E" w:rsidRDefault="00E07160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528"/>
        <w:gridCol w:w="1418"/>
      </w:tblGrid>
      <w:tr w:rsidR="00E64D6E" w:rsidRPr="00E64D6E" w:rsidTr="00E07160">
        <w:tc>
          <w:tcPr>
            <w:tcW w:w="5528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Прямые материальные затраты  </w:t>
            </w:r>
          </w:p>
        </w:tc>
        <w:tc>
          <w:tcPr>
            <w:tcW w:w="1418" w:type="dxa"/>
          </w:tcPr>
          <w:p w:rsidR="00710384" w:rsidRPr="00E64D6E" w:rsidRDefault="00710384" w:rsidP="00BE3780">
            <w:pPr>
              <w:spacing w:before="60" w:after="60"/>
              <w:jc w:val="right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$384 290</w:t>
            </w:r>
          </w:p>
        </w:tc>
      </w:tr>
      <w:tr w:rsidR="00E64D6E" w:rsidRPr="00E64D6E" w:rsidTr="00E07160">
        <w:tc>
          <w:tcPr>
            <w:tcW w:w="5528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Прямые трудовые затраты  </w:t>
            </w:r>
          </w:p>
        </w:tc>
        <w:tc>
          <w:tcPr>
            <w:tcW w:w="1418" w:type="dxa"/>
          </w:tcPr>
          <w:p w:rsidR="00710384" w:rsidRPr="00E64D6E" w:rsidRDefault="00710384" w:rsidP="00BE3780">
            <w:pPr>
              <w:spacing w:before="60" w:after="60"/>
              <w:jc w:val="right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$208 350</w:t>
            </w:r>
          </w:p>
        </w:tc>
      </w:tr>
      <w:tr w:rsidR="00E64D6E" w:rsidRPr="00E64D6E" w:rsidTr="00E07160">
        <w:tc>
          <w:tcPr>
            <w:tcW w:w="5528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Переменные общепроизводственные затраты </w:t>
            </w:r>
          </w:p>
        </w:tc>
        <w:tc>
          <w:tcPr>
            <w:tcW w:w="1418" w:type="dxa"/>
          </w:tcPr>
          <w:p w:rsidR="00710384" w:rsidRPr="00E64D6E" w:rsidRDefault="00710384" w:rsidP="00BE3780">
            <w:pPr>
              <w:spacing w:before="60" w:after="60"/>
              <w:jc w:val="right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$296 320</w:t>
            </w:r>
          </w:p>
        </w:tc>
      </w:tr>
      <w:tr w:rsidR="00E64D6E" w:rsidRPr="00E64D6E" w:rsidTr="00E07160">
        <w:tc>
          <w:tcPr>
            <w:tcW w:w="5528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Постоянные общепроизводственные расходы </w:t>
            </w:r>
          </w:p>
        </w:tc>
        <w:tc>
          <w:tcPr>
            <w:tcW w:w="1418" w:type="dxa"/>
          </w:tcPr>
          <w:p w:rsidR="00710384" w:rsidRPr="00E64D6E" w:rsidRDefault="00710384" w:rsidP="00BE3780">
            <w:pPr>
              <w:spacing w:before="60" w:after="60"/>
              <w:jc w:val="right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$166 680</w:t>
            </w:r>
          </w:p>
        </w:tc>
      </w:tr>
      <w:tr w:rsidR="00E64D6E" w:rsidRPr="00E64D6E" w:rsidTr="00E07160">
        <w:tc>
          <w:tcPr>
            <w:tcW w:w="5528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Переменные коммерческие расходы </w:t>
            </w:r>
          </w:p>
        </w:tc>
        <w:tc>
          <w:tcPr>
            <w:tcW w:w="1418" w:type="dxa"/>
          </w:tcPr>
          <w:p w:rsidR="00710384" w:rsidRPr="00E64D6E" w:rsidRDefault="00710384" w:rsidP="00BE3780">
            <w:pPr>
              <w:spacing w:before="60" w:after="60"/>
              <w:jc w:val="right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$132 600</w:t>
            </w:r>
          </w:p>
        </w:tc>
      </w:tr>
      <w:tr w:rsidR="00E64D6E" w:rsidRPr="00E64D6E" w:rsidTr="00E07160">
        <w:tc>
          <w:tcPr>
            <w:tcW w:w="5528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Постоянные коммерческие расходы </w:t>
            </w:r>
          </w:p>
        </w:tc>
        <w:tc>
          <w:tcPr>
            <w:tcW w:w="1418" w:type="dxa"/>
          </w:tcPr>
          <w:p w:rsidR="00710384" w:rsidRPr="00E64D6E" w:rsidRDefault="00710384" w:rsidP="00BE3780">
            <w:pPr>
              <w:spacing w:before="60" w:after="60"/>
              <w:jc w:val="right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>$152 048</w:t>
            </w:r>
          </w:p>
        </w:tc>
      </w:tr>
      <w:tr w:rsidR="00E64D6E" w:rsidRPr="00E64D6E" w:rsidTr="00E07160">
        <w:tc>
          <w:tcPr>
            <w:tcW w:w="5528" w:type="dxa"/>
          </w:tcPr>
          <w:p w:rsidR="00710384" w:rsidRPr="00E64D6E" w:rsidRDefault="00710384" w:rsidP="00BE3780">
            <w:pPr>
              <w:spacing w:before="60" w:after="60"/>
              <w:jc w:val="both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Постоянные общехозяйственные расходы </w:t>
            </w:r>
          </w:p>
        </w:tc>
        <w:tc>
          <w:tcPr>
            <w:tcW w:w="1418" w:type="dxa"/>
          </w:tcPr>
          <w:p w:rsidR="00710384" w:rsidRPr="00E64D6E" w:rsidRDefault="00710384" w:rsidP="00BE3780">
            <w:pPr>
              <w:spacing w:before="60" w:after="60"/>
              <w:jc w:val="right"/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</w:pPr>
            <w:r w:rsidRPr="00E64D6E">
              <w:rPr>
                <w:rFonts w:asciiTheme="minorHAnsi" w:hAnsiTheme="minorHAnsi"/>
                <w:color w:val="1F497D" w:themeColor="text2"/>
                <w:sz w:val="24"/>
                <w:szCs w:val="24"/>
                <w:lang w:eastAsia="ar-SA"/>
              </w:rPr>
              <w:t xml:space="preserve">$96 450 </w:t>
            </w:r>
          </w:p>
        </w:tc>
      </w:tr>
    </w:tbl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Остатков незавершенного производства не было ни на начало, ни на конец года. Остатки готовой продукции  на начало года были равны нулю.</w:t>
      </w: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b/>
          <w:i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b/>
          <w:i/>
          <w:color w:val="1F497D" w:themeColor="text2"/>
          <w:sz w:val="24"/>
          <w:szCs w:val="24"/>
          <w:lang w:eastAsia="ar-SA"/>
        </w:rPr>
        <w:t>Требуется:</w:t>
      </w: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1) Рассчитать себестоимость единицы продукции и остатков готовой продукции, используя</w:t>
      </w:r>
    </w:p>
    <w:p w:rsidR="00710384" w:rsidRPr="00E64D6E" w:rsidRDefault="00710384" w:rsidP="00710384">
      <w:pPr>
        <w:spacing w:before="120" w:after="120"/>
        <w:ind w:firstLine="426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а) метод учета полных затрат; </w:t>
      </w:r>
    </w:p>
    <w:p w:rsidR="00710384" w:rsidRPr="00E64D6E" w:rsidRDefault="00710384" w:rsidP="00710384">
      <w:pPr>
        <w:spacing w:before="120" w:after="120"/>
        <w:ind w:left="426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б) метод учета переменных затрат (директ-костинг).</w:t>
      </w: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2) Подготовить отчет о прибылях и убытках за 2013 год компании «Кровля+», используя</w:t>
      </w:r>
    </w:p>
    <w:p w:rsidR="00710384" w:rsidRPr="00E64D6E" w:rsidRDefault="00710384" w:rsidP="00710384">
      <w:pPr>
        <w:spacing w:before="120" w:after="120"/>
        <w:ind w:firstLine="426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 xml:space="preserve">а) метод учета полных затрат; </w:t>
      </w:r>
    </w:p>
    <w:p w:rsidR="00710384" w:rsidRPr="00E64D6E" w:rsidRDefault="00710384" w:rsidP="00710384">
      <w:pPr>
        <w:spacing w:before="120" w:after="120"/>
        <w:ind w:firstLine="426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б) метод учета переменных затрат.</w:t>
      </w:r>
    </w:p>
    <w:p w:rsidR="00710384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</w:p>
    <w:p w:rsidR="00710384" w:rsidRPr="00E64D6E" w:rsidRDefault="00E07160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>
        <w:rPr>
          <w:rFonts w:asciiTheme="minorHAnsi" w:hAnsiTheme="minorHAnsi"/>
          <w:b/>
          <w:noProof/>
          <w:color w:val="1F497D" w:themeColor="text2"/>
          <w:sz w:val="24"/>
          <w:szCs w:val="24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47625</wp:posOffset>
            </wp:positionV>
            <wp:extent cx="1190625" cy="771525"/>
            <wp:effectExtent l="0" t="0" r="9525" b="9525"/>
            <wp:wrapThrough wrapText="bothSides">
              <wp:wrapPolygon edited="0">
                <wp:start x="0" y="0"/>
                <wp:lineTo x="0" y="21333"/>
                <wp:lineTo x="21427" y="21333"/>
                <wp:lineTo x="21427" y="0"/>
                <wp:lineTo x="0" y="0"/>
              </wp:wrapPolygon>
            </wp:wrapThrough>
            <wp:docPr id="8" name="Рисунок 8" descr="C:\Users\1\Desktop\3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3-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0384"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Компания «Сладости» производит малиновый джем и планирует выпускать 10 000 банок по 500г джема из каждых 6 000 кг сырья.</w:t>
      </w:r>
    </w:p>
    <w:p w:rsidR="00710384" w:rsidRPr="00E64D6E" w:rsidRDefault="00710384" w:rsidP="00710384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В прошлом месяце Компания «Сладости» поставила для производства 20 000 кг сырья (по цене $1 за кг) и выпустила 25 000 банок джема.</w:t>
      </w:r>
    </w:p>
    <w:p w:rsidR="001B45F4" w:rsidRPr="0024393D" w:rsidRDefault="00710384" w:rsidP="0024393D">
      <w:pPr>
        <w:spacing w:before="120" w:after="120"/>
        <w:jc w:val="both"/>
        <w:rPr>
          <w:rFonts w:asciiTheme="minorHAnsi" w:hAnsiTheme="minorHAnsi"/>
          <w:color w:val="1F497D" w:themeColor="text2"/>
          <w:sz w:val="24"/>
          <w:szCs w:val="24"/>
          <w:lang w:eastAsia="ar-SA"/>
        </w:rPr>
      </w:pPr>
      <w:r w:rsidRPr="00E64D6E">
        <w:rPr>
          <w:rFonts w:asciiTheme="minorHAnsi" w:hAnsiTheme="minorHAnsi"/>
          <w:color w:val="1F497D" w:themeColor="text2"/>
          <w:sz w:val="24"/>
          <w:szCs w:val="24"/>
          <w:lang w:eastAsia="ar-SA"/>
        </w:rPr>
        <w:t>Рассчитайте размер сверхнормативной прибыли или убытка от производственного процесса за прошлый месяц.</w:t>
      </w:r>
    </w:p>
    <w:sectPr w:rsidR="001B45F4" w:rsidRPr="0024393D" w:rsidSect="00224783">
      <w:footerReference w:type="default" r:id="rId18"/>
      <w:pgSz w:w="11906" w:h="16838"/>
      <w:pgMar w:top="1134" w:right="850" w:bottom="1134" w:left="1701" w:header="708" w:footer="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5E1" w:rsidRDefault="00D545E1" w:rsidP="00410E0A">
      <w:r>
        <w:separator/>
      </w:r>
    </w:p>
  </w:endnote>
  <w:endnote w:type="continuationSeparator" w:id="0">
    <w:p w:rsidR="00D545E1" w:rsidRDefault="00D545E1" w:rsidP="00410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3160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color w:val="1F497D" w:themeColor="text2"/>
            <w:sz w:val="24"/>
            <w:szCs w:val="24"/>
          </w:rPr>
          <w:id w:val="657421299"/>
          <w:docPartObj>
            <w:docPartGallery w:val="Page Numbers (Bottom of Page)"/>
            <w:docPartUnique/>
          </w:docPartObj>
        </w:sdtPr>
        <w:sdtContent>
          <w:p w:rsidR="00224783" w:rsidRDefault="00E9600B" w:rsidP="00224783">
            <w:pPr>
              <w:pStyle w:val="a7"/>
              <w:jc w:val="center"/>
              <w:rPr>
                <w:color w:val="1F497D" w:themeColor="text2"/>
                <w:sz w:val="24"/>
                <w:szCs w:val="24"/>
              </w:rPr>
            </w:pPr>
            <w:r w:rsidRPr="00E9600B">
              <w:rPr>
                <w:rFonts w:asciiTheme="minorHAnsi" w:hAnsiTheme="minorHAnsi"/>
                <w:noProof/>
                <w:color w:val="1F497D" w:themeColor="text2"/>
                <w:sz w:val="24"/>
                <w:szCs w:val="24"/>
              </w:rPr>
              <w:pict>
                <v:line id="Прямая соединительная линия 12" o:spid="_x0000_s2049" style="position:absolute;left:0;text-align:left;z-index:251659264;visibility:visible;mso-position-horizontal-relative:text;mso-position-vertical-relative:text;mso-height-relative:margin" from="-.3pt,-5.65pt" to="469.9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" strokecolor="#4579b8 [3044]"/>
              </w:pict>
            </w:r>
            <w:r w:rsidR="00224783" w:rsidRPr="00BE0F62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Контрольные задания к теме </w:t>
            </w:r>
            <w:r w:rsidR="00224783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3</w:t>
            </w:r>
            <w:r w:rsidR="00224783" w:rsidRPr="00BE0F62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.                                                                                                        </w:t>
            </w:r>
            <w:r w:rsidRPr="00BE0F62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fldChar w:fldCharType="begin"/>
            </w:r>
            <w:r w:rsidR="00224783" w:rsidRPr="00BE0F62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instrText>PAGE   \* MERGEFORMAT</w:instrText>
            </w:r>
            <w:r w:rsidRPr="00BE0F62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fldChar w:fldCharType="separate"/>
            </w:r>
            <w:r w:rsidR="00A227AF">
              <w:rPr>
                <w:rFonts w:asciiTheme="minorHAnsi" w:hAnsiTheme="minorHAnsi"/>
                <w:noProof/>
                <w:color w:val="1F497D" w:themeColor="text2"/>
                <w:sz w:val="24"/>
                <w:szCs w:val="24"/>
              </w:rPr>
              <w:t>1</w:t>
            </w:r>
            <w:r w:rsidRPr="00BE0F62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fldChar w:fldCharType="end"/>
            </w:r>
          </w:p>
        </w:sdtContent>
      </w:sdt>
      <w:p w:rsidR="00410E0A" w:rsidRDefault="00E9600B">
        <w:pPr>
          <w:pStyle w:val="a7"/>
          <w:jc w:val="center"/>
        </w:pPr>
      </w:p>
    </w:sdtContent>
  </w:sdt>
  <w:p w:rsidR="00410E0A" w:rsidRDefault="00224783" w:rsidP="00224783">
    <w:pPr>
      <w:pStyle w:val="a7"/>
      <w:tabs>
        <w:tab w:val="clear" w:pos="4677"/>
        <w:tab w:val="clear" w:pos="9355"/>
        <w:tab w:val="left" w:pos="247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5E1" w:rsidRDefault="00D545E1" w:rsidP="00410E0A">
      <w:r>
        <w:separator/>
      </w:r>
    </w:p>
  </w:footnote>
  <w:footnote w:type="continuationSeparator" w:id="0">
    <w:p w:rsidR="00D545E1" w:rsidRDefault="00D545E1" w:rsidP="00410E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1393"/>
    <w:multiLevelType w:val="hybridMultilevel"/>
    <w:tmpl w:val="63D8C902"/>
    <w:lvl w:ilvl="0" w:tplc="3D4600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63040"/>
    <w:multiLevelType w:val="hybridMultilevel"/>
    <w:tmpl w:val="A4642EAA"/>
    <w:lvl w:ilvl="0" w:tplc="B39AAF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67464"/>
    <w:rsid w:val="0006418C"/>
    <w:rsid w:val="0006447C"/>
    <w:rsid w:val="00097126"/>
    <w:rsid w:val="001B45F4"/>
    <w:rsid w:val="00224783"/>
    <w:rsid w:val="0024393D"/>
    <w:rsid w:val="00275038"/>
    <w:rsid w:val="003F1B76"/>
    <w:rsid w:val="00410E0A"/>
    <w:rsid w:val="00413F2A"/>
    <w:rsid w:val="004607C5"/>
    <w:rsid w:val="00480CEF"/>
    <w:rsid w:val="0061775B"/>
    <w:rsid w:val="00710384"/>
    <w:rsid w:val="00940D5B"/>
    <w:rsid w:val="00A227AF"/>
    <w:rsid w:val="00AC5B88"/>
    <w:rsid w:val="00B67464"/>
    <w:rsid w:val="00BD6806"/>
    <w:rsid w:val="00D545E1"/>
    <w:rsid w:val="00D62928"/>
    <w:rsid w:val="00E07160"/>
    <w:rsid w:val="00E64D6E"/>
    <w:rsid w:val="00E929DD"/>
    <w:rsid w:val="00E96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64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B7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1B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410E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0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0E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0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41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41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64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B7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1B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410E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0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0E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0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41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41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Stroytransgaz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v.minyaev</dc:creator>
  <cp:lastModifiedBy>e.yudina</cp:lastModifiedBy>
  <cp:revision>14</cp:revision>
  <dcterms:created xsi:type="dcterms:W3CDTF">2015-07-13T13:32:00Z</dcterms:created>
  <dcterms:modified xsi:type="dcterms:W3CDTF">2015-11-09T06:31:00Z</dcterms:modified>
</cp:coreProperties>
</file>