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3" w:rsidRPr="007E7D5D" w:rsidRDefault="00A860E3">
      <w:pPr>
        <w:rPr>
          <w:b/>
        </w:rPr>
      </w:pPr>
      <w:r w:rsidRPr="007E7D5D">
        <w:rPr>
          <w:b/>
        </w:rPr>
        <w:t>Методические указания по подготовке контрольной работы</w:t>
      </w:r>
    </w:p>
    <w:p w:rsidR="00A860E3" w:rsidRDefault="00A860E3">
      <w:r>
        <w:t>Контрольную работу необхо</w:t>
      </w:r>
      <w:r>
        <w:t>димо представить в машинописном виде (компьютерном наборе) на стандартных листах размера</w:t>
      </w:r>
      <w:proofErr w:type="gramStart"/>
      <w:r>
        <w:t xml:space="preserve"> А</w:t>
      </w:r>
      <w:proofErr w:type="gramEnd"/>
      <w:r>
        <w:t xml:space="preserve"> 4, один русифицированный шрифт –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Roman,14 кегль (размер) шрифта, в подстрочных примечаниях 12, межстрочный интервал 1,5. Левое поле – не менее 3 см.</w:t>
      </w:r>
      <w:r w:rsidRPr="00A860E3">
        <w:t xml:space="preserve"> </w:t>
      </w:r>
    </w:p>
    <w:p w:rsidR="007E7D5D" w:rsidRDefault="007E7D5D">
      <w:r>
        <w:t xml:space="preserve">Задания должны быть выполнены последовательно, с указанием их порядкового номера, допустимо использовать только общепринятые сокращения. В ссылках на нормативные правовые акты указывается: полное название акта; дата принятия; номер; источник опубликования; статья (пункт, абзац, иной фрагмент текста акта). Титульный лист и последняя страница контрольной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подписывается автором.</w:t>
      </w:r>
    </w:p>
    <w:p w:rsidR="007E7D5D" w:rsidRDefault="007E7D5D">
      <w:r>
        <w:t>Каждый вариант контрольной работы состоит из трех зада</w:t>
      </w:r>
      <w:r>
        <w:t>ний. Первое из них – теоретиче</w:t>
      </w:r>
      <w:r>
        <w:t xml:space="preserve">ский вопрос. Отвечая на него, студент должен продемонстрировать знание ключевых терминов и положений науки конституционного права в соответствующей сфере, сформулировать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позицию и аргументировать ее. Второе задание – задача. Прежде чем приступить к ее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>, необходимо изучить соответствующие правовые акты. В решении нужно указать нормати</w:t>
      </w:r>
      <w:proofErr w:type="gramStart"/>
      <w:r>
        <w:t>в-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основу ответа. В выводах по задаче необходимо соотносить нормативную модель решения с фактическими обстоятельствами разбираемого затруднения. Третье задание – практическая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та. Выполняя ее, необходимо проанализировать в сравнительно</w:t>
      </w:r>
      <w:r>
        <w:t>-правовом ключе действующее за</w:t>
      </w:r>
      <w:r>
        <w:t>конодательство. Решение задач должно основываться на полном анализе</w:t>
      </w:r>
      <w:r>
        <w:t xml:space="preserve"> обстоятельств, изложенных в ус</w:t>
      </w:r>
      <w:r>
        <w:t xml:space="preserve">ловии. </w:t>
      </w:r>
      <w:proofErr w:type="gramStart"/>
      <w:r>
        <w:t>Позиция автора должна быть четкой; решение – разверн</w:t>
      </w:r>
      <w:r>
        <w:t>утым и аргументированным.</w:t>
      </w:r>
      <w:proofErr w:type="gramEnd"/>
      <w:r>
        <w:t xml:space="preserve"> Рабо</w:t>
      </w:r>
      <w:r>
        <w:t>та должна содержать выводы, а также основные позиции рассуждений, посредством которых сформировались выводы. Рассуждения должны строиться на основе анализа источников отрасли и науки конституционного права. К работе обязательно прилагается список использованной литер</w:t>
      </w:r>
      <w:proofErr w:type="gramStart"/>
      <w:r>
        <w:t>а-</w:t>
      </w:r>
      <w:proofErr w:type="gramEnd"/>
      <w:r>
        <w:t xml:space="preserve"> туры и нормативных актов.</w:t>
      </w:r>
    </w:p>
    <w:p w:rsidR="00027CF4" w:rsidRDefault="00027CF4">
      <w:r>
        <w:t xml:space="preserve">УКАЗАТЕЛЬ СОКРАЩЕНИЙ </w:t>
      </w:r>
    </w:p>
    <w:p w:rsidR="00027CF4" w:rsidRDefault="00027CF4">
      <w:r>
        <w:t xml:space="preserve">БНА - Бюллетень нормативных актов федеральных органов исполнительной власти </w:t>
      </w:r>
    </w:p>
    <w:p w:rsidR="00027CF4" w:rsidRDefault="00027CF4">
      <w:r>
        <w:t xml:space="preserve">Ведомости РФ </w:t>
      </w:r>
      <w:r>
        <w:t xml:space="preserve"> - Ведомости Съезда народных депутатов Российской Федерации и Верховного Совета Российской Федерации</w:t>
      </w:r>
    </w:p>
    <w:p w:rsidR="00027CF4" w:rsidRDefault="00027CF4">
      <w:r>
        <w:t xml:space="preserve"> Ведомости РСФСР - Ведомости Съезда народных депутатов РСФСР и Верховного Совета РСФСР ВКС - Вестник Конституционного Суда Российской Федерации </w:t>
      </w:r>
    </w:p>
    <w:p w:rsidR="00027CF4" w:rsidRDefault="00027CF4">
      <w:r>
        <w:t xml:space="preserve">ОЗ - Закон Свердловской области, Областной закон Свердловской области </w:t>
      </w:r>
    </w:p>
    <w:p w:rsidR="00027CF4" w:rsidRDefault="00027CF4">
      <w:r>
        <w:t xml:space="preserve">ОКС - Определение Конституционного Суда Российской Федерации </w:t>
      </w:r>
    </w:p>
    <w:p w:rsidR="00027CF4" w:rsidRDefault="00027CF4">
      <w:r>
        <w:t>ПВС - Постановление Верховного Суда Российской Федерации</w:t>
      </w:r>
    </w:p>
    <w:p w:rsidR="00027CF4" w:rsidRDefault="00027CF4">
      <w:r>
        <w:t xml:space="preserve">ПКС - Постановление Конституционного Суда Российской Федерации </w:t>
      </w:r>
    </w:p>
    <w:p w:rsidR="00027CF4" w:rsidRDefault="00027CF4">
      <w:r>
        <w:t>РЮЖ - Российский юридический журнал</w:t>
      </w:r>
    </w:p>
    <w:p w:rsidR="00027CF4" w:rsidRDefault="00027CF4">
      <w:r>
        <w:t>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аз. - Российская газета </w:t>
      </w:r>
    </w:p>
    <w:p w:rsidR="00027CF4" w:rsidRDefault="00027CF4">
      <w:r>
        <w:t xml:space="preserve">СЗ РФ - Собрание законодательства Российской Федерации </w:t>
      </w:r>
    </w:p>
    <w:p w:rsidR="00027CF4" w:rsidRDefault="00027CF4">
      <w:r>
        <w:lastRenderedPageBreak/>
        <w:t>ФКЗ - Федеральный конституционный закон ФЗ - Федеральный закон</w:t>
      </w:r>
    </w:p>
    <w:p w:rsidR="007E7D5D" w:rsidRPr="007E7D5D" w:rsidRDefault="007E7D5D">
      <w:pPr>
        <w:rPr>
          <w:b/>
        </w:rPr>
      </w:pPr>
      <w:r w:rsidRPr="007E7D5D">
        <w:rPr>
          <w:b/>
        </w:rPr>
        <w:t>Вариант 6.</w:t>
      </w:r>
    </w:p>
    <w:p w:rsidR="006E23AD" w:rsidRDefault="00A860E3">
      <w:r w:rsidRPr="00A860E3">
        <w:t>1. Сформулируйте определения государствен</w:t>
      </w:r>
      <w:r w:rsidR="007E7D5D">
        <w:t>ного органа и органа государст</w:t>
      </w:r>
      <w:r w:rsidRPr="00A860E3">
        <w:t>венной власти. Есть ли различия между этими понятиями? 2. Соответствующим судом установлено, ч</w:t>
      </w:r>
      <w:r w:rsidR="007E7D5D">
        <w:t>то законодательным органом субъ</w:t>
      </w:r>
      <w:r w:rsidRPr="00A860E3">
        <w:t>екта РФ принят закон субъекта РФ, противоречащий Конституции РФ. Законодательный орган субъекта Российской Федерации в течение шести месяцев со дня вступления в силу решения суда не отменил нормативный правовой акт</w:t>
      </w:r>
      <w:r w:rsidR="00027CF4">
        <w:t xml:space="preserve">, признанный соответствующим </w:t>
      </w:r>
      <w:proofErr w:type="gramStart"/>
      <w:r w:rsidR="00027CF4">
        <w:t>су</w:t>
      </w:r>
      <w:bookmarkStart w:id="0" w:name="_GoBack"/>
      <w:bookmarkEnd w:id="0"/>
      <w:r w:rsidRPr="00A860E3">
        <w:t>дом</w:t>
      </w:r>
      <w:proofErr w:type="gramEnd"/>
      <w:r w:rsidRPr="00A860E3">
        <w:t xml:space="preserve"> противоречащим Конституции РФ и недействующим. Президент РФ вынес предупреждение законодат</w:t>
      </w:r>
      <w:r w:rsidR="007E7D5D">
        <w:t>ельному органу субъекта Россий</w:t>
      </w:r>
      <w:r w:rsidRPr="00A860E3">
        <w:t xml:space="preserve">ской Федерации в форме письма на имя председателя. </w:t>
      </w:r>
      <w:r w:rsidR="007E7D5D">
        <w:t>Законодательный орган игнориро</w:t>
      </w:r>
      <w:r w:rsidRPr="00A860E3">
        <w:t xml:space="preserve">вал письмо Президента РФ. Через четыре месяца Президент РФ подписал указ о роспуске законодательного органа субъекта РФ. Решите казус на основе Конституции Российской Федерации и Федерального закона от 06.10.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3. </w:t>
      </w:r>
      <w:proofErr w:type="gramStart"/>
      <w:r w:rsidRPr="00A860E3">
        <w:t xml:space="preserve">Раскройте конституционное понимание категории «достоинство личности» и права на судебную защиту на примере постановления Конституционного Суда РФ от 3 мая 1995 г. по «делу </w:t>
      </w:r>
      <w:proofErr w:type="spellStart"/>
      <w:r w:rsidRPr="00A860E3">
        <w:t>Аветяна</w:t>
      </w:r>
      <w:proofErr w:type="spellEnd"/>
      <w:r w:rsidRPr="00A860E3">
        <w:t>» (СЗ РФ. 1995. № 19.</w:t>
      </w:r>
      <w:proofErr w:type="gramEnd"/>
      <w:r w:rsidRPr="00A860E3">
        <w:t xml:space="preserve"> </w:t>
      </w:r>
      <w:proofErr w:type="gramStart"/>
      <w:r w:rsidRPr="00A860E3">
        <w:t>Ст. 1764; ВКС. 1995. № 2-3).</w:t>
      </w:r>
      <w:proofErr w:type="gramEnd"/>
    </w:p>
    <w:sectPr w:rsidR="006E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08"/>
    <w:rsid w:val="00027CF4"/>
    <w:rsid w:val="00657A08"/>
    <w:rsid w:val="006E23AD"/>
    <w:rsid w:val="007E7D5D"/>
    <w:rsid w:val="00A17A5C"/>
    <w:rsid w:val="00A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2015-10-12T17:56:00Z</dcterms:created>
  <dcterms:modified xsi:type="dcterms:W3CDTF">2015-10-12T19:07:00Z</dcterms:modified>
</cp:coreProperties>
</file>